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644655" w14:textId="67BE8AAF" w:rsidR="00175265" w:rsidRDefault="00175265" w:rsidP="0017526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5</w:t>
      </w:r>
      <w:r w:rsidRPr="0084639C">
        <w:rPr>
          <w:b/>
          <w:sz w:val="24"/>
          <w:szCs w:val="24"/>
        </w:rPr>
        <w:t xml:space="preserve"> Writing </w:t>
      </w:r>
      <w:r>
        <w:rPr>
          <w:b/>
          <w:sz w:val="24"/>
          <w:szCs w:val="24"/>
        </w:rPr>
        <w:t xml:space="preserve">Assessment Working </w:t>
      </w:r>
      <w:proofErr w:type="gramStart"/>
      <w:r>
        <w:rPr>
          <w:b/>
          <w:sz w:val="24"/>
          <w:szCs w:val="24"/>
        </w:rPr>
        <w:t>At</w:t>
      </w:r>
      <w:proofErr w:type="gramEnd"/>
      <w:r>
        <w:rPr>
          <w:b/>
          <w:sz w:val="24"/>
          <w:szCs w:val="24"/>
        </w:rPr>
        <w:t xml:space="preserve"> GDS Standard.</w:t>
      </w:r>
    </w:p>
    <w:p w14:paraId="7CEAF1C2" w14:textId="77777777" w:rsidR="00175265" w:rsidRDefault="00175265" w:rsidP="0017526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Pupil Name: </w:t>
      </w:r>
    </w:p>
    <w:p w14:paraId="5C49993C" w14:textId="77777777" w:rsidR="00175265" w:rsidRDefault="00175265" w:rsidP="00175265">
      <w:r>
        <w:rPr>
          <w:b/>
          <w:sz w:val="24"/>
          <w:szCs w:val="24"/>
        </w:rPr>
        <w:t xml:space="preserve">Class: </w:t>
      </w:r>
    </w:p>
    <w:tbl>
      <w:tblPr>
        <w:tblStyle w:val="TableGrid"/>
        <w:tblW w:w="9960" w:type="dxa"/>
        <w:tblLook w:val="04A0" w:firstRow="1" w:lastRow="0" w:firstColumn="1" w:lastColumn="0" w:noHBand="0" w:noVBand="1"/>
      </w:tblPr>
      <w:tblGrid>
        <w:gridCol w:w="5856"/>
        <w:gridCol w:w="684"/>
        <w:gridCol w:w="684"/>
        <w:gridCol w:w="684"/>
        <w:gridCol w:w="684"/>
        <w:gridCol w:w="684"/>
        <w:gridCol w:w="684"/>
      </w:tblGrid>
      <w:tr w:rsidR="00175265" w14:paraId="49F4B085" w14:textId="77777777" w:rsidTr="00390803">
        <w:trPr>
          <w:trHeight w:val="482"/>
        </w:trPr>
        <w:tc>
          <w:tcPr>
            <w:tcW w:w="5856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465"/>
            </w:tblGrid>
            <w:tr w:rsidR="00175265" w:rsidRPr="00BC3ED7" w14:paraId="23B3AFC4" w14:textId="77777777" w:rsidTr="00390803">
              <w:trPr>
                <w:trHeight w:val="403"/>
              </w:trPr>
              <w:tc>
                <w:tcPr>
                  <w:tcW w:w="0" w:type="auto"/>
                </w:tcPr>
                <w:p w14:paraId="0E887315" w14:textId="77777777" w:rsidR="00175265" w:rsidRPr="00BC3ED7" w:rsidRDefault="00175265" w:rsidP="0039080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BC3ED7">
                    <w:rPr>
                      <w:rFonts w:ascii="Calibri" w:hAnsi="Calibri"/>
                      <w:b/>
                      <w:bCs/>
                      <w:szCs w:val="17"/>
                    </w:rPr>
                    <w:t>The pupil can</w:t>
                  </w:r>
                  <w:r>
                    <w:rPr>
                      <w:rFonts w:ascii="Calibri" w:hAnsi="Calibri"/>
                      <w:b/>
                      <w:bCs/>
                      <w:szCs w:val="17"/>
                    </w:rPr>
                    <w:t xml:space="preserve"> in addition to the EXS standards</w:t>
                  </w:r>
                  <w:r w:rsidRPr="00BC3ED7">
                    <w:rPr>
                      <w:rFonts w:ascii="Calibri" w:hAnsi="Calibri"/>
                      <w:b/>
                      <w:bCs/>
                      <w:szCs w:val="17"/>
                    </w:rPr>
                    <w:t>:</w:t>
                  </w:r>
                </w:p>
              </w:tc>
            </w:tr>
          </w:tbl>
          <w:p w14:paraId="3F6AC274" w14:textId="77777777" w:rsidR="00175265" w:rsidRPr="00BC3ED7" w:rsidRDefault="00175265" w:rsidP="00390803">
            <w:pPr>
              <w:pStyle w:val="Default"/>
              <w:jc w:val="both"/>
              <w:rPr>
                <w:rFonts w:ascii="Calibri" w:hAnsi="Calibri"/>
                <w:b/>
                <w:bCs/>
                <w:color w:val="auto"/>
                <w:sz w:val="22"/>
                <w:szCs w:val="17"/>
              </w:rPr>
            </w:pPr>
          </w:p>
        </w:tc>
        <w:tc>
          <w:tcPr>
            <w:tcW w:w="684" w:type="dxa"/>
          </w:tcPr>
          <w:p w14:paraId="7DB2A438" w14:textId="77777777" w:rsidR="00175265" w:rsidRPr="00BC3ED7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Cs w:val="17"/>
              </w:rPr>
            </w:pPr>
            <w:r>
              <w:rPr>
                <w:rFonts w:ascii="Calibri" w:hAnsi="Calibri"/>
                <w:b/>
                <w:bCs/>
                <w:szCs w:val="17"/>
              </w:rPr>
              <w:t>T1</w:t>
            </w:r>
          </w:p>
        </w:tc>
        <w:tc>
          <w:tcPr>
            <w:tcW w:w="684" w:type="dxa"/>
          </w:tcPr>
          <w:p w14:paraId="4952EE81" w14:textId="77777777" w:rsidR="00175265" w:rsidRPr="00BC3ED7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Cs w:val="17"/>
              </w:rPr>
            </w:pPr>
            <w:r>
              <w:rPr>
                <w:rFonts w:ascii="Calibri" w:hAnsi="Calibri"/>
                <w:b/>
                <w:bCs/>
                <w:szCs w:val="17"/>
              </w:rPr>
              <w:t>T2</w:t>
            </w:r>
          </w:p>
        </w:tc>
        <w:tc>
          <w:tcPr>
            <w:tcW w:w="684" w:type="dxa"/>
          </w:tcPr>
          <w:p w14:paraId="0D94B5F0" w14:textId="77777777" w:rsidR="00175265" w:rsidRPr="00BC3ED7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Cs w:val="17"/>
              </w:rPr>
            </w:pPr>
            <w:r>
              <w:rPr>
                <w:rFonts w:ascii="Calibri" w:hAnsi="Calibri"/>
                <w:b/>
                <w:bCs/>
                <w:szCs w:val="17"/>
              </w:rPr>
              <w:t>T3</w:t>
            </w:r>
          </w:p>
        </w:tc>
        <w:tc>
          <w:tcPr>
            <w:tcW w:w="684" w:type="dxa"/>
          </w:tcPr>
          <w:p w14:paraId="1D148152" w14:textId="77777777" w:rsidR="00175265" w:rsidRPr="00BC3ED7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Cs w:val="17"/>
              </w:rPr>
            </w:pPr>
            <w:r>
              <w:rPr>
                <w:rFonts w:ascii="Calibri" w:hAnsi="Calibri"/>
                <w:b/>
                <w:bCs/>
                <w:szCs w:val="17"/>
              </w:rPr>
              <w:t>T4</w:t>
            </w:r>
          </w:p>
        </w:tc>
        <w:tc>
          <w:tcPr>
            <w:tcW w:w="684" w:type="dxa"/>
          </w:tcPr>
          <w:p w14:paraId="36B1E50E" w14:textId="77777777" w:rsidR="00175265" w:rsidRPr="00BC3ED7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Cs w:val="17"/>
              </w:rPr>
            </w:pPr>
            <w:r>
              <w:rPr>
                <w:rFonts w:ascii="Calibri" w:hAnsi="Calibri"/>
                <w:b/>
                <w:bCs/>
                <w:szCs w:val="17"/>
              </w:rPr>
              <w:t>T5</w:t>
            </w:r>
          </w:p>
        </w:tc>
        <w:tc>
          <w:tcPr>
            <w:tcW w:w="684" w:type="dxa"/>
          </w:tcPr>
          <w:p w14:paraId="61AD21C0" w14:textId="77777777" w:rsidR="00175265" w:rsidRPr="00BC3ED7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Cs w:val="17"/>
              </w:rPr>
            </w:pPr>
            <w:r>
              <w:rPr>
                <w:rFonts w:ascii="Calibri" w:hAnsi="Calibri"/>
                <w:b/>
                <w:bCs/>
                <w:szCs w:val="17"/>
              </w:rPr>
              <w:t>T6</w:t>
            </w:r>
          </w:p>
        </w:tc>
      </w:tr>
      <w:tr w:rsidR="00175265" w14:paraId="6252BDD0" w14:textId="77777777" w:rsidTr="00390803">
        <w:trPr>
          <w:trHeight w:val="478"/>
        </w:trPr>
        <w:tc>
          <w:tcPr>
            <w:tcW w:w="5856" w:type="dxa"/>
          </w:tcPr>
          <w:p w14:paraId="4B24BC20" w14:textId="71FBBFE2" w:rsidR="00175265" w:rsidRPr="00893BB1" w:rsidRDefault="00893BB1" w:rsidP="00893BB1">
            <w:pPr>
              <w:pStyle w:val="Default"/>
              <w:rPr>
                <w:rFonts w:ascii="Calibri" w:hAnsi="Calibri"/>
                <w:bCs/>
                <w:color w:val="auto"/>
                <w:sz w:val="22"/>
                <w:szCs w:val="17"/>
              </w:rPr>
            </w:pPr>
            <w:r w:rsidRPr="00893BB1">
              <w:rPr>
                <w:rFonts w:ascii="Calibri" w:hAnsi="Calibri"/>
                <w:bCs/>
                <w:color w:val="auto"/>
                <w:sz w:val="22"/>
                <w:szCs w:val="17"/>
              </w:rPr>
              <w:t xml:space="preserve">Independently write to suit purpose and audience across a range of genres using appropriate features, language and vocabulary (which may include suspense or humour) </w:t>
            </w:r>
          </w:p>
        </w:tc>
        <w:tc>
          <w:tcPr>
            <w:tcW w:w="684" w:type="dxa"/>
          </w:tcPr>
          <w:p w14:paraId="5B520159" w14:textId="77777777" w:rsidR="00175265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740A987B" w14:textId="77777777" w:rsidR="00175265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5588AF21" w14:textId="77777777" w:rsidR="00175265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77B355FC" w14:textId="77777777" w:rsidR="00175265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35F68BF3" w14:textId="77777777" w:rsidR="00175265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4E63B63A" w14:textId="77777777" w:rsidR="00175265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</w:tr>
      <w:tr w:rsidR="00175265" w14:paraId="7FCB08A0" w14:textId="77777777" w:rsidTr="00390803">
        <w:trPr>
          <w:trHeight w:val="478"/>
        </w:trPr>
        <w:tc>
          <w:tcPr>
            <w:tcW w:w="5856" w:type="dxa"/>
          </w:tcPr>
          <w:p w14:paraId="1B48C03D" w14:textId="26968EC2" w:rsidR="00175265" w:rsidRDefault="00393723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  <w:r>
              <w:rPr>
                <w:rFonts w:ascii="Calibri" w:hAnsi="Calibri"/>
                <w:szCs w:val="17"/>
              </w:rPr>
              <w:t>Use both formal and informal language confidently.</w:t>
            </w:r>
          </w:p>
        </w:tc>
        <w:tc>
          <w:tcPr>
            <w:tcW w:w="684" w:type="dxa"/>
          </w:tcPr>
          <w:p w14:paraId="5103984F" w14:textId="77777777" w:rsidR="00175265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11F6F8BA" w14:textId="77777777" w:rsidR="00175265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4AB0ABDF" w14:textId="77777777" w:rsidR="00175265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76BE5B9B" w14:textId="77777777" w:rsidR="00175265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7FCD4217" w14:textId="77777777" w:rsidR="00175265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006D6512" w14:textId="77777777" w:rsidR="00175265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</w:tr>
      <w:tr w:rsidR="00175265" w14:paraId="6962DCB1" w14:textId="77777777" w:rsidTr="00390803">
        <w:trPr>
          <w:trHeight w:val="478"/>
        </w:trPr>
        <w:tc>
          <w:tcPr>
            <w:tcW w:w="5856" w:type="dxa"/>
          </w:tcPr>
          <w:p w14:paraId="2B16DEF5" w14:textId="1DF4EBC6" w:rsidR="00175265" w:rsidRDefault="00393723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  <w:r>
              <w:rPr>
                <w:rFonts w:ascii="Calibri" w:hAnsi="Calibri"/>
                <w:szCs w:val="17"/>
              </w:rPr>
              <w:t>Use well-chosen</w:t>
            </w:r>
            <w:r w:rsidR="005C45A4">
              <w:rPr>
                <w:rFonts w:ascii="Calibri" w:hAnsi="Calibri"/>
                <w:szCs w:val="17"/>
              </w:rPr>
              <w:t xml:space="preserve"> and high-quality</w:t>
            </w:r>
            <w:r>
              <w:rPr>
                <w:rFonts w:ascii="Calibri" w:hAnsi="Calibri"/>
                <w:szCs w:val="17"/>
              </w:rPr>
              <w:t xml:space="preserve"> vocabulary</w:t>
            </w:r>
            <w:r w:rsidR="00D729E6">
              <w:rPr>
                <w:rFonts w:ascii="Calibri" w:hAnsi="Calibri"/>
                <w:szCs w:val="17"/>
              </w:rPr>
              <w:t xml:space="preserve"> (suitable to the </w:t>
            </w:r>
            <w:r w:rsidR="00667EFD">
              <w:rPr>
                <w:rFonts w:ascii="Calibri" w:hAnsi="Calibri"/>
                <w:szCs w:val="17"/>
              </w:rPr>
              <w:t xml:space="preserve">piece of writing) </w:t>
            </w:r>
          </w:p>
        </w:tc>
        <w:tc>
          <w:tcPr>
            <w:tcW w:w="684" w:type="dxa"/>
          </w:tcPr>
          <w:p w14:paraId="2774338C" w14:textId="77777777" w:rsidR="00175265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2FEA53D5" w14:textId="77777777" w:rsidR="00175265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4B9EE147" w14:textId="77777777" w:rsidR="00175265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293544E6" w14:textId="77777777" w:rsidR="00175265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7BA0F8CD" w14:textId="77777777" w:rsidR="00175265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6975DB16" w14:textId="77777777" w:rsidR="00175265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</w:tr>
      <w:tr w:rsidR="00175265" w14:paraId="47CCC2D3" w14:textId="77777777" w:rsidTr="00390803">
        <w:trPr>
          <w:trHeight w:val="478"/>
        </w:trPr>
        <w:tc>
          <w:tcPr>
            <w:tcW w:w="5856" w:type="dxa"/>
          </w:tcPr>
          <w:p w14:paraId="10B95C41" w14:textId="260D80A6" w:rsidR="00175265" w:rsidRDefault="005C45A4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  <w:r>
              <w:rPr>
                <w:rFonts w:ascii="Calibri" w:hAnsi="Calibri"/>
                <w:szCs w:val="17"/>
              </w:rPr>
              <w:t>Confidently use dialogue to show character and move the story forward.</w:t>
            </w:r>
          </w:p>
        </w:tc>
        <w:tc>
          <w:tcPr>
            <w:tcW w:w="684" w:type="dxa"/>
          </w:tcPr>
          <w:p w14:paraId="3214D6F2" w14:textId="77777777" w:rsidR="00175265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6486D7A1" w14:textId="77777777" w:rsidR="00175265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240B33E6" w14:textId="77777777" w:rsidR="00175265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5CD2D46C" w14:textId="77777777" w:rsidR="00175265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1F2C1338" w14:textId="77777777" w:rsidR="00175265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78EA18F7" w14:textId="77777777" w:rsidR="00175265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</w:tr>
      <w:tr w:rsidR="00175265" w14:paraId="27E7E00F" w14:textId="77777777" w:rsidTr="00390803">
        <w:trPr>
          <w:trHeight w:val="478"/>
        </w:trPr>
        <w:tc>
          <w:tcPr>
            <w:tcW w:w="5856" w:type="dxa"/>
          </w:tcPr>
          <w:p w14:paraId="155B05AD" w14:textId="0053909D" w:rsidR="00175265" w:rsidRDefault="008D65F1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  <w:r>
              <w:rPr>
                <w:rFonts w:ascii="Calibri" w:hAnsi="Calibri"/>
                <w:szCs w:val="17"/>
              </w:rPr>
              <w:t xml:space="preserve">Use commas to avoid ambiguity in sentences. </w:t>
            </w:r>
            <w:r w:rsidR="00A73378">
              <w:rPr>
                <w:rFonts w:ascii="Calibri" w:hAnsi="Calibri"/>
                <w:szCs w:val="17"/>
              </w:rPr>
              <w:t>(</w:t>
            </w:r>
            <w:r w:rsidR="007A062F">
              <w:rPr>
                <w:rFonts w:ascii="Calibri" w:hAnsi="Calibri"/>
                <w:szCs w:val="17"/>
              </w:rPr>
              <w:t>“</w:t>
            </w:r>
            <w:proofErr w:type="gramStart"/>
            <w:r w:rsidR="00936B0E">
              <w:rPr>
                <w:rFonts w:ascii="Calibri" w:hAnsi="Calibri"/>
                <w:szCs w:val="17"/>
              </w:rPr>
              <w:t>Let’s</w:t>
            </w:r>
            <w:proofErr w:type="gramEnd"/>
            <w:r w:rsidR="00936B0E">
              <w:rPr>
                <w:rFonts w:ascii="Calibri" w:hAnsi="Calibri"/>
                <w:szCs w:val="17"/>
              </w:rPr>
              <w:t xml:space="preserve"> eat, Jack</w:t>
            </w:r>
            <w:r w:rsidR="007A062F">
              <w:rPr>
                <w:rFonts w:ascii="Calibri" w:hAnsi="Calibri"/>
                <w:szCs w:val="17"/>
              </w:rPr>
              <w:t>”</w:t>
            </w:r>
            <w:r w:rsidR="00936B0E">
              <w:rPr>
                <w:rFonts w:ascii="Calibri" w:hAnsi="Calibri"/>
                <w:szCs w:val="17"/>
              </w:rPr>
              <w:t xml:space="preserve"> instead of </w:t>
            </w:r>
            <w:r w:rsidR="007A062F">
              <w:rPr>
                <w:rFonts w:ascii="Calibri" w:hAnsi="Calibri"/>
                <w:szCs w:val="17"/>
              </w:rPr>
              <w:t xml:space="preserve">“Let’s eat Jack”) </w:t>
            </w:r>
          </w:p>
        </w:tc>
        <w:tc>
          <w:tcPr>
            <w:tcW w:w="684" w:type="dxa"/>
          </w:tcPr>
          <w:p w14:paraId="5FF57C56" w14:textId="77777777" w:rsidR="00175265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67AFDBD0" w14:textId="77777777" w:rsidR="00175265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60909BF8" w14:textId="77777777" w:rsidR="00175265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26BC5808" w14:textId="77777777" w:rsidR="00175265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2289E3B4" w14:textId="77777777" w:rsidR="00175265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1EF13E18" w14:textId="77777777" w:rsidR="00175265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</w:tr>
      <w:tr w:rsidR="00175265" w14:paraId="5CB9F635" w14:textId="77777777" w:rsidTr="00390803">
        <w:trPr>
          <w:trHeight w:val="478"/>
        </w:trPr>
        <w:tc>
          <w:tcPr>
            <w:tcW w:w="5856" w:type="dxa"/>
          </w:tcPr>
          <w:p w14:paraId="058B61EA" w14:textId="397B5412" w:rsidR="00175265" w:rsidRDefault="008D65F1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  <w:r>
              <w:rPr>
                <w:rFonts w:ascii="Calibri" w:hAnsi="Calibri"/>
                <w:szCs w:val="17"/>
              </w:rPr>
              <w:t>Sustain appropriate tense.</w:t>
            </w:r>
          </w:p>
        </w:tc>
        <w:tc>
          <w:tcPr>
            <w:tcW w:w="684" w:type="dxa"/>
          </w:tcPr>
          <w:p w14:paraId="4F3805E7" w14:textId="77777777" w:rsidR="00175265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33475C17" w14:textId="77777777" w:rsidR="00175265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53A4AAC8" w14:textId="77777777" w:rsidR="00175265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6F389EFC" w14:textId="77777777" w:rsidR="00175265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6A380BB3" w14:textId="77777777" w:rsidR="00175265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0325D06F" w14:textId="77777777" w:rsidR="00175265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</w:tr>
      <w:tr w:rsidR="00175265" w14:paraId="4179477E" w14:textId="77777777" w:rsidTr="00390803">
        <w:trPr>
          <w:trHeight w:val="478"/>
        </w:trPr>
        <w:tc>
          <w:tcPr>
            <w:tcW w:w="5856" w:type="dxa"/>
          </w:tcPr>
          <w:p w14:paraId="65273ED3" w14:textId="56B151B9" w:rsidR="00175265" w:rsidRDefault="008D65F1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  <w:r>
              <w:rPr>
                <w:rFonts w:ascii="Calibri" w:hAnsi="Calibri"/>
                <w:szCs w:val="17"/>
              </w:rPr>
              <w:t>Sometime use passive voice.</w:t>
            </w:r>
            <w:r w:rsidR="000516D2">
              <w:rPr>
                <w:rFonts w:ascii="Calibri" w:hAnsi="Calibri"/>
                <w:szCs w:val="17"/>
              </w:rPr>
              <w:t xml:space="preserve"> Object before the subject in the sentence e.g. The ball was kicked by Jack instead of Jack kicked the ball. </w:t>
            </w:r>
          </w:p>
        </w:tc>
        <w:tc>
          <w:tcPr>
            <w:tcW w:w="684" w:type="dxa"/>
          </w:tcPr>
          <w:p w14:paraId="2DA200E4" w14:textId="77777777" w:rsidR="00175265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3B08F54F" w14:textId="77777777" w:rsidR="00175265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61B7A04E" w14:textId="77777777" w:rsidR="00175265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5C8DAA8C" w14:textId="77777777" w:rsidR="00175265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41D4B160" w14:textId="77777777" w:rsidR="00175265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17A574A9" w14:textId="77777777" w:rsidR="00175265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</w:tr>
      <w:tr w:rsidR="00175265" w14:paraId="0C23838A" w14:textId="77777777" w:rsidTr="00390803">
        <w:trPr>
          <w:trHeight w:val="478"/>
        </w:trPr>
        <w:tc>
          <w:tcPr>
            <w:tcW w:w="5856" w:type="dxa"/>
          </w:tcPr>
          <w:p w14:paraId="64B88D47" w14:textId="63B9E2BA" w:rsidR="00175265" w:rsidRDefault="005412AE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  <w:r>
              <w:rPr>
                <w:rFonts w:ascii="Calibri" w:hAnsi="Calibri"/>
                <w:szCs w:val="17"/>
              </w:rPr>
              <w:t>S</w:t>
            </w:r>
            <w:r w:rsidRPr="005412AE">
              <w:rPr>
                <w:rFonts w:ascii="Calibri" w:hAnsi="Calibri"/>
                <w:szCs w:val="17"/>
              </w:rPr>
              <w:t>pell accurately in line with Y5-6</w:t>
            </w:r>
            <w:r>
              <w:rPr>
                <w:rFonts w:ascii="Calibri" w:hAnsi="Calibri"/>
                <w:szCs w:val="17"/>
              </w:rPr>
              <w:t>spelling words</w:t>
            </w:r>
            <w:r w:rsidRPr="005412AE">
              <w:rPr>
                <w:rFonts w:ascii="Calibri" w:hAnsi="Calibri"/>
                <w:szCs w:val="17"/>
              </w:rPr>
              <w:t xml:space="preserve"> e.g. words spelt </w:t>
            </w:r>
            <w:proofErr w:type="spellStart"/>
            <w:r w:rsidRPr="005412AE">
              <w:rPr>
                <w:rFonts w:ascii="Calibri" w:hAnsi="Calibri"/>
                <w:szCs w:val="17"/>
              </w:rPr>
              <w:t>ei</w:t>
            </w:r>
            <w:proofErr w:type="spellEnd"/>
            <w:r w:rsidRPr="005412AE">
              <w:rPr>
                <w:rFonts w:ascii="Calibri" w:hAnsi="Calibri"/>
                <w:szCs w:val="17"/>
              </w:rPr>
              <w:t xml:space="preserve"> after c, hyphenated words, many words using suffixes e.g. ‘</w:t>
            </w:r>
            <w:proofErr w:type="spellStart"/>
            <w:r w:rsidRPr="005412AE">
              <w:rPr>
                <w:rFonts w:ascii="Calibri" w:hAnsi="Calibri"/>
                <w:szCs w:val="17"/>
              </w:rPr>
              <w:t>cious</w:t>
            </w:r>
            <w:proofErr w:type="spellEnd"/>
            <w:r w:rsidRPr="005412AE">
              <w:rPr>
                <w:rFonts w:ascii="Calibri" w:hAnsi="Calibri"/>
                <w:szCs w:val="17"/>
              </w:rPr>
              <w:t>’, ‘</w:t>
            </w:r>
            <w:proofErr w:type="spellStart"/>
            <w:r w:rsidRPr="005412AE">
              <w:rPr>
                <w:rFonts w:ascii="Calibri" w:hAnsi="Calibri"/>
                <w:szCs w:val="17"/>
              </w:rPr>
              <w:t>cial</w:t>
            </w:r>
            <w:proofErr w:type="spellEnd"/>
            <w:r w:rsidRPr="005412AE">
              <w:rPr>
                <w:rFonts w:ascii="Calibri" w:hAnsi="Calibri"/>
                <w:szCs w:val="17"/>
              </w:rPr>
              <w:t>’, ‘ant’, ‘</w:t>
            </w:r>
            <w:proofErr w:type="spellStart"/>
            <w:r w:rsidRPr="005412AE">
              <w:rPr>
                <w:rFonts w:ascii="Calibri" w:hAnsi="Calibri"/>
                <w:szCs w:val="17"/>
              </w:rPr>
              <w:t>ent</w:t>
            </w:r>
            <w:proofErr w:type="spellEnd"/>
            <w:r w:rsidRPr="005412AE">
              <w:rPr>
                <w:rFonts w:ascii="Calibri" w:hAnsi="Calibri"/>
                <w:szCs w:val="17"/>
              </w:rPr>
              <w:t>’;  a wide range of homophones from Y5-6 list; most words with ‘</w:t>
            </w:r>
            <w:proofErr w:type="spellStart"/>
            <w:r w:rsidRPr="005412AE">
              <w:rPr>
                <w:rFonts w:ascii="Calibri" w:hAnsi="Calibri"/>
                <w:szCs w:val="17"/>
              </w:rPr>
              <w:t>ough</w:t>
            </w:r>
            <w:proofErr w:type="spellEnd"/>
            <w:r w:rsidRPr="005412AE">
              <w:rPr>
                <w:rFonts w:ascii="Calibri" w:hAnsi="Calibri"/>
                <w:szCs w:val="17"/>
              </w:rPr>
              <w:t>’ etc.</w:t>
            </w:r>
          </w:p>
        </w:tc>
        <w:tc>
          <w:tcPr>
            <w:tcW w:w="684" w:type="dxa"/>
          </w:tcPr>
          <w:p w14:paraId="1710DB33" w14:textId="77777777" w:rsidR="00175265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7CB5F769" w14:textId="77777777" w:rsidR="00175265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6BE166B6" w14:textId="77777777" w:rsidR="00175265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412E3FCA" w14:textId="77777777" w:rsidR="00175265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265202F9" w14:textId="77777777" w:rsidR="00175265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3348D516" w14:textId="77777777" w:rsidR="00175265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</w:tr>
      <w:tr w:rsidR="00175265" w14:paraId="61CB7CED" w14:textId="77777777" w:rsidTr="00390803">
        <w:trPr>
          <w:trHeight w:val="478"/>
        </w:trPr>
        <w:tc>
          <w:tcPr>
            <w:tcW w:w="5856" w:type="dxa"/>
          </w:tcPr>
          <w:p w14:paraId="4979F0BE" w14:textId="4E15A2D4" w:rsidR="00175265" w:rsidRDefault="00D543D8" w:rsidP="00D543D8">
            <w:pPr>
              <w:pStyle w:val="Default"/>
              <w:rPr>
                <w:rFonts w:ascii="Calibri" w:hAnsi="Calibri"/>
                <w:szCs w:val="17"/>
              </w:rPr>
            </w:pPr>
            <w:r w:rsidRPr="00D543D8">
              <w:rPr>
                <w:rFonts w:ascii="Calibri" w:hAnsi="Calibri"/>
                <w:color w:val="auto"/>
                <w:sz w:val="22"/>
                <w:szCs w:val="17"/>
              </w:rPr>
              <w:t>Join most handwriting legibly and fluently, maintaining quality</w:t>
            </w:r>
            <w:r>
              <w:rPr>
                <w:rFonts w:ascii="Calibri" w:hAnsi="Calibri"/>
                <w:color w:val="auto"/>
                <w:sz w:val="22"/>
                <w:szCs w:val="17"/>
              </w:rPr>
              <w:t>.</w:t>
            </w:r>
          </w:p>
        </w:tc>
        <w:tc>
          <w:tcPr>
            <w:tcW w:w="684" w:type="dxa"/>
          </w:tcPr>
          <w:p w14:paraId="661577EC" w14:textId="77777777" w:rsidR="00175265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60A67CD6" w14:textId="77777777" w:rsidR="00175265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6E10115B" w14:textId="77777777" w:rsidR="00175265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7976B44F" w14:textId="77777777" w:rsidR="00175265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59F03C66" w14:textId="77777777" w:rsidR="00175265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7049FF13" w14:textId="77777777" w:rsidR="00175265" w:rsidRDefault="00175265" w:rsidP="00390803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</w:tr>
    </w:tbl>
    <w:p w14:paraId="56848835" w14:textId="77777777" w:rsidR="00175265" w:rsidRDefault="00175265" w:rsidP="00175265"/>
    <w:p w14:paraId="356A399D" w14:textId="3E36EA84" w:rsidR="00175265" w:rsidRPr="00894C96" w:rsidRDefault="00175265" w:rsidP="00175265">
      <w:pPr>
        <w:shd w:val="clear" w:color="auto" w:fill="FFFFFF"/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404040"/>
          <w:sz w:val="24"/>
          <w:szCs w:val="24"/>
          <w:lang w:eastAsia="en-GB"/>
        </w:rPr>
      </w:pPr>
      <w:r w:rsidRPr="00894C96">
        <w:rPr>
          <w:rFonts w:ascii="Arial" w:eastAsia="Times New Roman" w:hAnsi="Arial" w:cs="Arial"/>
          <w:b/>
          <w:bCs/>
          <w:color w:val="404040"/>
          <w:sz w:val="24"/>
          <w:szCs w:val="24"/>
          <w:lang w:eastAsia="en-GB"/>
        </w:rPr>
        <w:t>Most</w:t>
      </w:r>
      <w:r w:rsidR="007A062F">
        <w:rPr>
          <w:rFonts w:ascii="Arial" w:eastAsia="Times New Roman" w:hAnsi="Arial" w:cs="Arial"/>
          <w:b/>
          <w:bCs/>
          <w:color w:val="404040"/>
          <w:sz w:val="24"/>
          <w:szCs w:val="24"/>
          <w:lang w:eastAsia="en-GB"/>
        </w:rPr>
        <w:t>/usually</w:t>
      </w:r>
      <w:r w:rsidRPr="00894C96">
        <w:rPr>
          <w:rFonts w:ascii="Arial" w:eastAsia="Times New Roman" w:hAnsi="Arial" w:cs="Arial"/>
          <w:b/>
          <w:bCs/>
          <w:color w:val="404040"/>
          <w:sz w:val="24"/>
          <w:szCs w:val="24"/>
          <w:lang w:eastAsia="en-GB"/>
        </w:rPr>
        <w:t> </w:t>
      </w:r>
      <w:r w:rsidRPr="00894C96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– statement has been generally met with occasional errors </w:t>
      </w:r>
    </w:p>
    <w:p w14:paraId="47310624" w14:textId="5BCFAB35" w:rsidR="00175265" w:rsidRPr="00894C96" w:rsidRDefault="00175265" w:rsidP="00175265">
      <w:pPr>
        <w:shd w:val="clear" w:color="auto" w:fill="FFFFFF"/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404040"/>
          <w:sz w:val="24"/>
          <w:szCs w:val="24"/>
          <w:lang w:eastAsia="en-GB"/>
        </w:rPr>
      </w:pPr>
      <w:r w:rsidRPr="00894C96">
        <w:rPr>
          <w:rFonts w:ascii="Arial" w:eastAsia="Times New Roman" w:hAnsi="Arial" w:cs="Arial"/>
          <w:b/>
          <w:bCs/>
          <w:color w:val="404040"/>
          <w:sz w:val="24"/>
          <w:szCs w:val="24"/>
          <w:lang w:eastAsia="en-GB"/>
        </w:rPr>
        <w:t>Some</w:t>
      </w:r>
      <w:r w:rsidR="007A062F">
        <w:rPr>
          <w:rFonts w:ascii="Arial" w:eastAsia="Times New Roman" w:hAnsi="Arial" w:cs="Arial"/>
          <w:b/>
          <w:bCs/>
          <w:color w:val="404040"/>
          <w:sz w:val="24"/>
          <w:szCs w:val="24"/>
          <w:lang w:eastAsia="en-GB"/>
        </w:rPr>
        <w:t>/sometimes</w:t>
      </w:r>
      <w:r w:rsidRPr="00894C96">
        <w:rPr>
          <w:rFonts w:ascii="Arial" w:eastAsia="Times New Roman" w:hAnsi="Arial" w:cs="Arial"/>
          <w:b/>
          <w:bCs/>
          <w:color w:val="404040"/>
          <w:sz w:val="24"/>
          <w:szCs w:val="24"/>
          <w:lang w:eastAsia="en-GB"/>
        </w:rPr>
        <w:t> </w:t>
      </w:r>
      <w:r w:rsidRPr="00894C96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– skill is starting to be acquired and is demonstrated correctly on occasion but is not frequent</w:t>
      </w:r>
    </w:p>
    <w:p w14:paraId="3EC55F35" w14:textId="77777777" w:rsidR="00175265" w:rsidRDefault="00175265" w:rsidP="00175265"/>
    <w:p w14:paraId="34E23CB6" w14:textId="77777777" w:rsidR="00175265" w:rsidRDefault="00175265" w:rsidP="00175265"/>
    <w:p w14:paraId="370D2409" w14:textId="77777777" w:rsidR="007C3BE5" w:rsidRDefault="000516D2"/>
    <w:sectPr w:rsidR="007C3B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A5312DD"/>
    <w:multiLevelType w:val="hybridMultilevel"/>
    <w:tmpl w:val="303607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265"/>
    <w:rsid w:val="000516D2"/>
    <w:rsid w:val="000F0A43"/>
    <w:rsid w:val="00175265"/>
    <w:rsid w:val="00393723"/>
    <w:rsid w:val="005412AE"/>
    <w:rsid w:val="005C45A4"/>
    <w:rsid w:val="00667EFD"/>
    <w:rsid w:val="00726396"/>
    <w:rsid w:val="007A062F"/>
    <w:rsid w:val="00893BB1"/>
    <w:rsid w:val="008D65F1"/>
    <w:rsid w:val="00936B0E"/>
    <w:rsid w:val="00A73378"/>
    <w:rsid w:val="00D543D8"/>
    <w:rsid w:val="00D72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4F6A43"/>
  <w15:chartTrackingRefBased/>
  <w15:docId w15:val="{824F8FC8-3C0D-4AB4-BEFE-EEE17CC83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52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75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7526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7A4398B50D8145B2B35A007AE02E71" ma:contentTypeVersion="7" ma:contentTypeDescription="Create a new document." ma:contentTypeScope="" ma:versionID="64c1268a956af7d39ccbe17a6a7ac3a9">
  <xsd:schema xmlns:xsd="http://www.w3.org/2001/XMLSchema" xmlns:xs="http://www.w3.org/2001/XMLSchema" xmlns:p="http://schemas.microsoft.com/office/2006/metadata/properties" xmlns:ns3="f3d21146-53dc-468b-8ed0-56ff6c07cd19" xmlns:ns4="7f466fa8-b8a0-41bd-8600-1a7ec7f352f7" targetNamespace="http://schemas.microsoft.com/office/2006/metadata/properties" ma:root="true" ma:fieldsID="648e2492ddff3a7bb262c068beaab32e" ns3:_="" ns4:_="">
    <xsd:import namespace="f3d21146-53dc-468b-8ed0-56ff6c07cd19"/>
    <xsd:import namespace="7f466fa8-b8a0-41bd-8600-1a7ec7f352f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d21146-53dc-468b-8ed0-56ff6c07cd1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66fa8-b8a0-41bd-8600-1a7ec7f352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4E1A080-9A59-4E46-9F8B-4B681F37FA6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FC69492-0F94-4B24-A749-AC3397A73C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d21146-53dc-468b-8ed0-56ff6c07cd19"/>
    <ds:schemaRef ds:uri="7f466fa8-b8a0-41bd-8600-1a7ec7f352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57D9688-666A-4C92-BB96-A2DEB210F50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195</Words>
  <Characters>1117</Characters>
  <Application>Microsoft Office Word</Application>
  <DocSecurity>0</DocSecurity>
  <Lines>9</Lines>
  <Paragraphs>2</Paragraphs>
  <ScaleCrop>false</ScaleCrop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HUNTER</dc:creator>
  <cp:keywords/>
  <dc:description/>
  <cp:lastModifiedBy>Luke Hunter</cp:lastModifiedBy>
  <cp:revision>13</cp:revision>
  <dcterms:created xsi:type="dcterms:W3CDTF">2020-05-04T09:40:00Z</dcterms:created>
  <dcterms:modified xsi:type="dcterms:W3CDTF">2020-06-12T10:05:00Z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0x010100FE7A4398B50D8145B2B35A007AE02E71</vt:lpwstr>
  </property>
</Properties>
</file>